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201" w:rsidRPr="00660038" w:rsidRDefault="00A27201" w:rsidP="00F10E43">
      <w:pPr>
        <w:jc w:val="center"/>
        <w:rPr>
          <w:b/>
        </w:rPr>
      </w:pPr>
      <w:bookmarkStart w:id="0" w:name="_GoBack"/>
      <w:bookmarkEnd w:id="0"/>
    </w:p>
    <w:p w:rsidR="00F10E43" w:rsidRPr="009749F9" w:rsidRDefault="00F10E43" w:rsidP="00F10E43">
      <w:pPr>
        <w:jc w:val="center"/>
        <w:rPr>
          <w:b/>
          <w:sz w:val="22"/>
          <w:szCs w:val="22"/>
        </w:rPr>
      </w:pPr>
      <w:r w:rsidRPr="009749F9">
        <w:rPr>
          <w:b/>
          <w:sz w:val="22"/>
          <w:szCs w:val="22"/>
        </w:rPr>
        <w:t>Lista de verificare politici europene/teme orizontale</w:t>
      </w:r>
    </w:p>
    <w:p w:rsidR="00F10E43" w:rsidRPr="009749F9" w:rsidRDefault="00F10E43" w:rsidP="00F10E43">
      <w:pPr>
        <w:jc w:val="center"/>
        <w:rPr>
          <w:b/>
          <w:sz w:val="22"/>
          <w:szCs w:val="22"/>
        </w:rPr>
      </w:pPr>
    </w:p>
    <w:p w:rsidR="00F10E43" w:rsidRPr="009749F9" w:rsidRDefault="00F10E43" w:rsidP="00F10E43">
      <w:pPr>
        <w:jc w:val="both"/>
        <w:rPr>
          <w:sz w:val="22"/>
          <w:szCs w:val="22"/>
        </w:rPr>
      </w:pPr>
    </w:p>
    <w:p w:rsidR="00F10E43" w:rsidRPr="009749F9" w:rsidRDefault="00F10E43" w:rsidP="00F10E43">
      <w:pPr>
        <w:jc w:val="both"/>
        <w:rPr>
          <w:sz w:val="22"/>
          <w:szCs w:val="22"/>
        </w:rPr>
      </w:pPr>
    </w:p>
    <w:p w:rsidR="00023BB3" w:rsidRPr="009749F9" w:rsidRDefault="00023BB3" w:rsidP="00023BB3">
      <w:pPr>
        <w:jc w:val="both"/>
        <w:rPr>
          <w:sz w:val="22"/>
          <w:szCs w:val="22"/>
        </w:rPr>
      </w:pPr>
      <w:r w:rsidRPr="009749F9">
        <w:rPr>
          <w:sz w:val="22"/>
          <w:szCs w:val="22"/>
        </w:rPr>
        <w:t>Prezenta listă de verificare se va completa pentru a putea răspunde criteriului din grila de verificare administrativă și a eligibilității pentru proiectele POIM:</w:t>
      </w:r>
    </w:p>
    <w:p w:rsidR="00023BB3" w:rsidRPr="009749F9" w:rsidRDefault="00023BB3" w:rsidP="00023BB3">
      <w:pPr>
        <w:jc w:val="both"/>
        <w:rPr>
          <w:sz w:val="22"/>
          <w:szCs w:val="22"/>
        </w:rPr>
      </w:pPr>
    </w:p>
    <w:p w:rsidR="00023BB3" w:rsidRPr="009749F9" w:rsidRDefault="00023BB3" w:rsidP="00023BB3">
      <w:pPr>
        <w:jc w:val="both"/>
        <w:rPr>
          <w:sz w:val="22"/>
          <w:szCs w:val="22"/>
        </w:rPr>
      </w:pPr>
      <w:r w:rsidRPr="009749F9">
        <w:rPr>
          <w:sz w:val="22"/>
          <w:szCs w:val="22"/>
        </w:rPr>
        <w:t xml:space="preserve">”Proiectul respectă reglementările </w:t>
      </w:r>
      <w:proofErr w:type="spellStart"/>
      <w:r w:rsidRPr="009749F9">
        <w:rPr>
          <w:sz w:val="22"/>
          <w:szCs w:val="22"/>
        </w:rPr>
        <w:t>naţionale</w:t>
      </w:r>
      <w:proofErr w:type="spellEnd"/>
      <w:r w:rsidRPr="009749F9">
        <w:rPr>
          <w:sz w:val="22"/>
          <w:szCs w:val="22"/>
        </w:rPr>
        <w:t xml:space="preserve"> </w:t>
      </w:r>
      <w:proofErr w:type="spellStart"/>
      <w:r w:rsidRPr="009749F9">
        <w:rPr>
          <w:sz w:val="22"/>
          <w:szCs w:val="22"/>
        </w:rPr>
        <w:t>şi</w:t>
      </w:r>
      <w:proofErr w:type="spellEnd"/>
      <w:r w:rsidRPr="009749F9">
        <w:rPr>
          <w:sz w:val="22"/>
          <w:szCs w:val="22"/>
        </w:rPr>
        <w:t xml:space="preserve"> comunitare privind eligibilitatea cheltuielilor, promovarea </w:t>
      </w:r>
      <w:proofErr w:type="spellStart"/>
      <w:r w:rsidRPr="009749F9">
        <w:rPr>
          <w:sz w:val="22"/>
          <w:szCs w:val="22"/>
        </w:rPr>
        <w:t>egalităţii</w:t>
      </w:r>
      <w:proofErr w:type="spellEnd"/>
      <w:r w:rsidRPr="009749F9">
        <w:rPr>
          <w:sz w:val="22"/>
          <w:szCs w:val="22"/>
        </w:rPr>
        <w:t xml:space="preserve"> de </w:t>
      </w:r>
      <w:proofErr w:type="spellStart"/>
      <w:r w:rsidRPr="009749F9">
        <w:rPr>
          <w:sz w:val="22"/>
          <w:szCs w:val="22"/>
        </w:rPr>
        <w:t>şanse</w:t>
      </w:r>
      <w:proofErr w:type="spellEnd"/>
      <w:r w:rsidRPr="009749F9">
        <w:rPr>
          <w:sz w:val="22"/>
          <w:szCs w:val="22"/>
        </w:rPr>
        <w:t xml:space="preserve"> </w:t>
      </w:r>
      <w:proofErr w:type="spellStart"/>
      <w:r w:rsidRPr="009749F9">
        <w:rPr>
          <w:sz w:val="22"/>
          <w:szCs w:val="22"/>
        </w:rPr>
        <w:t>şi</w:t>
      </w:r>
      <w:proofErr w:type="spellEnd"/>
      <w:r w:rsidRPr="009749F9">
        <w:rPr>
          <w:sz w:val="22"/>
          <w:szCs w:val="22"/>
        </w:rPr>
        <w:t xml:space="preserve"> politica nediscriminatorie; dezvoltarea durabilă, tehnologia </w:t>
      </w:r>
      <w:proofErr w:type="spellStart"/>
      <w:r w:rsidRPr="009749F9">
        <w:rPr>
          <w:sz w:val="22"/>
          <w:szCs w:val="22"/>
        </w:rPr>
        <w:t>informaţiei</w:t>
      </w:r>
      <w:proofErr w:type="spellEnd"/>
      <w:r w:rsidRPr="009749F9">
        <w:rPr>
          <w:sz w:val="22"/>
          <w:szCs w:val="22"/>
        </w:rPr>
        <w:t xml:space="preserve">; </w:t>
      </w:r>
      <w:proofErr w:type="spellStart"/>
      <w:r w:rsidRPr="009749F9">
        <w:rPr>
          <w:sz w:val="22"/>
          <w:szCs w:val="22"/>
        </w:rPr>
        <w:t>achiziţiile</w:t>
      </w:r>
      <w:proofErr w:type="spellEnd"/>
      <w:r w:rsidRPr="009749F9">
        <w:rPr>
          <w:sz w:val="22"/>
          <w:szCs w:val="22"/>
        </w:rPr>
        <w:t xml:space="preserve"> publice; informare </w:t>
      </w:r>
      <w:proofErr w:type="spellStart"/>
      <w:r w:rsidRPr="009749F9">
        <w:rPr>
          <w:sz w:val="22"/>
          <w:szCs w:val="22"/>
        </w:rPr>
        <w:t>şi</w:t>
      </w:r>
      <w:proofErr w:type="spellEnd"/>
      <w:r w:rsidRPr="009749F9">
        <w:rPr>
          <w:sz w:val="22"/>
          <w:szCs w:val="22"/>
        </w:rPr>
        <w:t xml:space="preserve"> publicitate; ajutorul de stat precum </w:t>
      </w:r>
      <w:proofErr w:type="spellStart"/>
      <w:r w:rsidRPr="009749F9">
        <w:rPr>
          <w:sz w:val="22"/>
          <w:szCs w:val="22"/>
        </w:rPr>
        <w:t>şi</w:t>
      </w:r>
      <w:proofErr w:type="spellEnd"/>
      <w:r w:rsidRPr="009749F9">
        <w:rPr>
          <w:sz w:val="22"/>
          <w:szCs w:val="22"/>
        </w:rPr>
        <w:t xml:space="preserve"> orice alte prevederi legale aplicabile fondurilor europene structurale și de investiții, </w:t>
      </w:r>
      <w:proofErr w:type="spellStart"/>
      <w:r w:rsidRPr="009749F9">
        <w:rPr>
          <w:sz w:val="22"/>
          <w:szCs w:val="22"/>
        </w:rPr>
        <w:t>dupa</w:t>
      </w:r>
      <w:proofErr w:type="spellEnd"/>
      <w:r w:rsidRPr="009749F9">
        <w:rPr>
          <w:sz w:val="22"/>
          <w:szCs w:val="22"/>
        </w:rPr>
        <w:t xml:space="preserve"> caz”,.</w:t>
      </w:r>
    </w:p>
    <w:p w:rsidR="00023BB3" w:rsidRPr="009749F9" w:rsidRDefault="00023BB3" w:rsidP="00023BB3">
      <w:pPr>
        <w:ind w:left="284" w:hanging="142"/>
        <w:jc w:val="both"/>
        <w:rPr>
          <w:sz w:val="22"/>
          <w:szCs w:val="22"/>
        </w:rPr>
      </w:pPr>
    </w:p>
    <w:p w:rsidR="00023BB3" w:rsidRPr="00023BB3" w:rsidRDefault="00023BB3" w:rsidP="00023BB3">
      <w:pPr>
        <w:jc w:val="both"/>
        <w:rPr>
          <w:sz w:val="22"/>
          <w:szCs w:val="22"/>
        </w:rPr>
      </w:pPr>
      <w:r w:rsidRPr="00023BB3">
        <w:rPr>
          <w:sz w:val="22"/>
          <w:szCs w:val="22"/>
        </w:rPr>
        <w:t>Sistem de notare: DA, NU, N/A (nu este cazul)</w:t>
      </w:r>
    </w:p>
    <w:p w:rsidR="00023BB3" w:rsidRPr="00306CB3" w:rsidRDefault="00023BB3" w:rsidP="00023BB3">
      <w:pPr>
        <w:jc w:val="both"/>
        <w:rPr>
          <w:rFonts w:ascii="Trebuchet MS" w:hAnsi="Trebuchet MS"/>
          <w:b/>
        </w:rPr>
      </w:pPr>
    </w:p>
    <w:tbl>
      <w:tblPr>
        <w:tblStyle w:val="TableGrid"/>
        <w:tblW w:w="9190" w:type="dxa"/>
        <w:jc w:val="center"/>
        <w:tblLayout w:type="fixed"/>
        <w:tblLook w:val="01E0" w:firstRow="1" w:lastRow="1" w:firstColumn="1" w:lastColumn="1" w:noHBand="0" w:noVBand="0"/>
      </w:tblPr>
      <w:tblGrid>
        <w:gridCol w:w="990"/>
        <w:gridCol w:w="3705"/>
        <w:gridCol w:w="478"/>
        <w:gridCol w:w="433"/>
        <w:gridCol w:w="425"/>
        <w:gridCol w:w="3159"/>
      </w:tblGrid>
      <w:tr w:rsidR="00023BB3" w:rsidRPr="00306CB3" w:rsidTr="00023BB3">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AP/OS</w:t>
            </w:r>
          </w:p>
        </w:tc>
        <w:tc>
          <w:tcPr>
            <w:tcW w:w="3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Criteriu</w:t>
            </w:r>
          </w:p>
        </w:tc>
        <w:tc>
          <w:tcPr>
            <w:tcW w:w="133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DA, NU, N/A</w:t>
            </w:r>
          </w:p>
        </w:tc>
        <w:tc>
          <w:tcPr>
            <w:tcW w:w="31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Referințele legislative/aspecte de verificat</w:t>
            </w:r>
          </w:p>
        </w:tc>
      </w:tr>
      <w:tr w:rsidR="00023BB3" w:rsidRPr="00306CB3" w:rsidTr="00B85FC0">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ind w:right="-250"/>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sz w:val="18"/>
                <w:szCs w:val="18"/>
              </w:rPr>
            </w:pP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r>
      <w:tr w:rsidR="00023BB3" w:rsidRPr="00306CB3" w:rsidTr="00B85FC0">
        <w:trP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pStyle w:val="ListParagraph"/>
              <w:numPr>
                <w:ilvl w:val="0"/>
                <w:numId w:val="3"/>
              </w:numPr>
              <w:jc w:val="both"/>
              <w:rPr>
                <w:rFonts w:ascii="Trebuchet MS" w:hAnsi="Trebuchet MS"/>
                <w:b/>
                <w:color w:val="2F5496" w:themeColor="accent5" w:themeShade="BF"/>
                <w:sz w:val="18"/>
                <w:szCs w:val="18"/>
              </w:rPr>
            </w:pPr>
            <w:r w:rsidRPr="00306CB3">
              <w:rPr>
                <w:rFonts w:ascii="Trebuchet MS" w:hAnsi="Trebuchet MS"/>
                <w:b/>
                <w:color w:val="2F5496" w:themeColor="accent5" w:themeShade="BF"/>
                <w:sz w:val="18"/>
                <w:szCs w:val="18"/>
              </w:rPr>
              <w:t>Egalitatea de șanse</w:t>
            </w: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299"/>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r w:rsidRPr="00306CB3">
              <w:rPr>
                <w:rFonts w:ascii="Trebuchet MS" w:hAnsi="Trebuchet MS"/>
                <w:b/>
                <w:color w:val="FF0000"/>
                <w:sz w:val="18"/>
                <w:szCs w:val="18"/>
              </w:rPr>
              <w:t>A1. Egalitate de gen</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cantSplit/>
          <w:trHeight w:val="843"/>
          <w:jc w:val="center"/>
        </w:trPr>
        <w:tc>
          <w:tcPr>
            <w:tcW w:w="990" w:type="dxa"/>
            <w:vMerge w:val="restart"/>
            <w:tcBorders>
              <w:top w:val="single" w:sz="4" w:space="0" w:color="auto"/>
              <w:left w:val="single" w:sz="4" w:space="0" w:color="auto"/>
              <w:right w:val="single" w:sz="4" w:space="0" w:color="auto"/>
            </w:tcBorders>
          </w:tcPr>
          <w:p w:rsidR="00023BB3" w:rsidRPr="00306CB3" w:rsidRDefault="00023BB3" w:rsidP="00B85FC0">
            <w:pPr>
              <w:ind w:left="-2853" w:firstLine="2853"/>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976D7" w:rsidRDefault="00023BB3" w:rsidP="00B85FC0">
            <w:pPr>
              <w:pStyle w:val="ListParagraph"/>
              <w:numPr>
                <w:ilvl w:val="0"/>
                <w:numId w:val="2"/>
              </w:numPr>
              <w:jc w:val="both"/>
              <w:rPr>
                <w:rFonts w:ascii="Trebuchet MS" w:hAnsi="Trebuchet MS"/>
                <w:b/>
                <w:sz w:val="18"/>
                <w:szCs w:val="18"/>
              </w:rPr>
            </w:pPr>
            <w:r w:rsidRPr="00306CB3">
              <w:rPr>
                <w:rFonts w:ascii="Trebuchet MS" w:hAnsi="Trebuchet MS"/>
                <w:sz w:val="18"/>
                <w:szCs w:val="18"/>
              </w:rPr>
              <w:t xml:space="preserve">Solicitantul prezintă modul în care va asigura </w:t>
            </w:r>
            <w:proofErr w:type="spellStart"/>
            <w:r w:rsidRPr="00306CB3">
              <w:rPr>
                <w:rFonts w:ascii="Trebuchet MS" w:hAnsi="Trebuchet MS"/>
                <w:sz w:val="18"/>
                <w:szCs w:val="18"/>
              </w:rPr>
              <w:t>repectarea</w:t>
            </w:r>
            <w:proofErr w:type="spellEnd"/>
            <w:r w:rsidRPr="00306CB3">
              <w:rPr>
                <w:rFonts w:ascii="Trebuchet MS" w:hAnsi="Trebuchet MS"/>
                <w:sz w:val="18"/>
                <w:szCs w:val="18"/>
              </w:rPr>
              <w:t xml:space="preserve"> principiilor egalității de gen așa cum sunt reglementate prin în ceea ce privește egalitatea de șanse și tratament între femei și bărbați în relațiile de muncă, tratament egal, hărțuire, și eventual unde sunt stipulate a</w:t>
            </w:r>
            <w:r>
              <w:rPr>
                <w:rFonts w:ascii="Trebuchet MS" w:hAnsi="Trebuchet MS"/>
                <w:sz w:val="18"/>
                <w:szCs w:val="18"/>
              </w:rPr>
              <w:t>ceste prevederi, și nu impune/</w:t>
            </w:r>
            <w:r w:rsidRPr="00306CB3">
              <w:rPr>
                <w:rFonts w:ascii="Trebuchet MS" w:hAnsi="Trebuchet MS"/>
                <w:sz w:val="18"/>
                <w:szCs w:val="18"/>
              </w:rPr>
              <w:t xml:space="preserve">nu a impus criterii discriminatorii în activitatea de: </w:t>
            </w:r>
          </w:p>
          <w:p w:rsidR="00023BB3" w:rsidRPr="003976D7" w:rsidRDefault="00023BB3" w:rsidP="00B85FC0">
            <w:pPr>
              <w:jc w:val="both"/>
              <w:rPr>
                <w:rFonts w:ascii="Trebuchet MS" w:hAnsi="Trebuchet MS"/>
                <w:b/>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Egalitate de gen din Cererea de finanțare</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Documentele organizatorice indicate de solicitant</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Legislație aplicabilă: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Legea nr. 202/2002 privind egalitatea de șanse </w:t>
            </w:r>
            <w:proofErr w:type="spellStart"/>
            <w:r w:rsidRPr="00306CB3">
              <w:rPr>
                <w:rFonts w:ascii="Trebuchet MS" w:hAnsi="Trebuchet MS"/>
                <w:i/>
                <w:sz w:val="18"/>
                <w:szCs w:val="18"/>
              </w:rPr>
              <w:t>şi</w:t>
            </w:r>
            <w:proofErr w:type="spellEnd"/>
            <w:r w:rsidRPr="00306CB3">
              <w:rPr>
                <w:rFonts w:ascii="Trebuchet MS" w:hAnsi="Trebuchet MS"/>
                <w:i/>
                <w:sz w:val="18"/>
                <w:szCs w:val="18"/>
              </w:rPr>
              <w:t xml:space="preserve"> de tratament între femei </w:t>
            </w:r>
            <w:proofErr w:type="spellStart"/>
            <w:r w:rsidRPr="00306CB3">
              <w:rPr>
                <w:rFonts w:ascii="Trebuchet MS" w:hAnsi="Trebuchet MS"/>
                <w:i/>
                <w:sz w:val="18"/>
                <w:szCs w:val="18"/>
              </w:rPr>
              <w:t>şi</w:t>
            </w:r>
            <w:proofErr w:type="spellEnd"/>
            <w:r w:rsidRPr="00306CB3">
              <w:rPr>
                <w:rFonts w:ascii="Trebuchet MS" w:hAnsi="Trebuchet MS"/>
                <w:i/>
                <w:sz w:val="18"/>
                <w:szCs w:val="18"/>
              </w:rPr>
              <w:t xml:space="preserve"> </w:t>
            </w:r>
            <w:proofErr w:type="spellStart"/>
            <w:r w:rsidRPr="00306CB3">
              <w:rPr>
                <w:rFonts w:ascii="Trebuchet MS" w:hAnsi="Trebuchet MS"/>
                <w:i/>
                <w:sz w:val="18"/>
                <w:szCs w:val="18"/>
              </w:rPr>
              <w:t>bărbaţi</w:t>
            </w:r>
            <w:proofErr w:type="spellEnd"/>
            <w:r w:rsidRPr="00306CB3">
              <w:rPr>
                <w:rFonts w:ascii="Trebuchet MS" w:hAnsi="Trebuchet MS"/>
                <w:i/>
                <w:sz w:val="18"/>
                <w:szCs w:val="18"/>
              </w:rPr>
              <w:t xml:space="preserve"> (sau alte reglementări)</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Directiva 2006/54/CE privind principiul egalității de șanse și al egalității de tratament între bărbați și femei în materie de încadrare în muncă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2000/43/CE  din  29  iunie  2000  de  punere  în  aplicare  a principiului egalității de tratament între persoane, fără deosebire de rasă sau origine etnică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2000/78/CE  privind  crearea  unui  cadru  general  în  favoarea egalității de tratament în ceea privește încadrarea în muncă și ocuparea forței de muncă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2010/41/UE privind aplicarea principiului egalității de tratament între bărbații și femeile care desfășoară o activitate independentă și de </w:t>
            </w:r>
            <w:r w:rsidRPr="00306CB3">
              <w:rPr>
                <w:rFonts w:ascii="Trebuchet MS" w:hAnsi="Trebuchet MS"/>
                <w:i/>
                <w:sz w:val="18"/>
                <w:szCs w:val="18"/>
              </w:rPr>
              <w:lastRenderedPageBreak/>
              <w:t xml:space="preserve">abrogare a Directivei 86/613/CEE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2006/54/CE privind punerea în aplicare a principiului egalității de șanse și al egalității de tratament între bărbați și femei în materie de încadrare în muncă și de muncă  </w:t>
            </w:r>
          </w:p>
          <w:p w:rsidR="00023BB3" w:rsidRPr="003976D7" w:rsidRDefault="00023BB3" w:rsidP="00B85FC0">
            <w:pPr>
              <w:pStyle w:val="ListParagraph"/>
              <w:numPr>
                <w:ilvl w:val="0"/>
                <w:numId w:val="5"/>
              </w:numPr>
              <w:ind w:left="266" w:hanging="266"/>
              <w:jc w:val="both"/>
              <w:rPr>
                <w:rFonts w:ascii="Trebuchet MS" w:hAnsi="Trebuchet MS"/>
                <w:b/>
                <w:sz w:val="18"/>
                <w:szCs w:val="18"/>
              </w:rPr>
            </w:pPr>
            <w:r w:rsidRPr="00306CB3">
              <w:rPr>
                <w:rFonts w:ascii="Trebuchet MS" w:hAnsi="Trebuchet MS"/>
                <w:i/>
                <w:sz w:val="18"/>
                <w:szCs w:val="18"/>
              </w:rPr>
              <w:t>Directiva  2004/113/CE  de  aplicare  a  principiului  egalității  de  tratament între femei și bărbați privind accesul la bunuri și servicii și furnizarea de bunuri și servicii</w:t>
            </w:r>
          </w:p>
          <w:p w:rsidR="00023BB3" w:rsidRPr="003976D7" w:rsidRDefault="00023BB3" w:rsidP="00B85FC0">
            <w:pPr>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pStyle w:val="ListParagraph"/>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Stabilirea componenței unității de implementare a proiectului?</w:t>
            </w:r>
          </w:p>
          <w:p w:rsidR="00023BB3" w:rsidRPr="00306CB3" w:rsidRDefault="00023BB3" w:rsidP="00B85FC0">
            <w:pPr>
              <w:pStyle w:val="ListParagraph"/>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pStyle w:val="ListParagraph"/>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Elaborarea criteriilor din documentația de achiziție publică?</w:t>
            </w:r>
          </w:p>
          <w:p w:rsidR="00023BB3" w:rsidRPr="00306CB3" w:rsidRDefault="00023BB3" w:rsidP="00B85FC0">
            <w:pPr>
              <w:pStyle w:val="ListParagraph"/>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Pentru OS 4.1. Protecția biodiversității</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b/>
                <w:sz w:val="18"/>
                <w:szCs w:val="18"/>
              </w:rPr>
            </w:pPr>
            <w:r w:rsidRPr="00306CB3">
              <w:rPr>
                <w:rFonts w:ascii="Trebuchet MS" w:hAnsi="Trebuchet MS"/>
                <w:sz w:val="18"/>
                <w:szCs w:val="18"/>
              </w:rPr>
              <w:t xml:space="preserve">Stabilirea grupului țintă pentru activitățile de informare și conștientizare în domeniul </w:t>
            </w:r>
            <w:proofErr w:type="spellStart"/>
            <w:r w:rsidRPr="00306CB3">
              <w:rPr>
                <w:rFonts w:ascii="Trebuchet MS" w:hAnsi="Trebuchet MS"/>
                <w:sz w:val="18"/>
                <w:szCs w:val="18"/>
              </w:rPr>
              <w:t>biodivresității</w:t>
            </w:r>
            <w:proofErr w:type="spellEnd"/>
            <w:r w:rsidRPr="00306CB3">
              <w:rPr>
                <w:rFonts w:ascii="Trebuchet MS" w:hAnsi="Trebuchet MS"/>
                <w:sz w:val="18"/>
                <w:szCs w:val="18"/>
              </w:rPr>
              <w:t>?</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A2. Nediscriminare</w:t>
            </w:r>
          </w:p>
          <w:p w:rsidR="00023BB3" w:rsidRPr="00306CB3" w:rsidRDefault="00023BB3" w:rsidP="00B85FC0">
            <w:pPr>
              <w:pStyle w:val="ListParagraph"/>
              <w:ind w:left="0"/>
              <w:jc w:val="both"/>
              <w:rPr>
                <w:rFonts w:ascii="Trebuchet MS" w:hAnsi="Trebuchet MS"/>
                <w:b/>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023BB3">
        <w:trPr>
          <w:trHeight w:val="1295"/>
          <w:jc w:val="center"/>
        </w:trPr>
        <w:tc>
          <w:tcPr>
            <w:tcW w:w="990" w:type="dxa"/>
            <w:vMerge w:val="restart"/>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 xml:space="preserve">Solicitantul prezintă modul în care va asigura </w:t>
            </w:r>
            <w:proofErr w:type="spellStart"/>
            <w:r w:rsidRPr="00306CB3">
              <w:rPr>
                <w:rFonts w:ascii="Trebuchet MS" w:hAnsi="Trebuchet MS"/>
                <w:sz w:val="18"/>
                <w:szCs w:val="18"/>
              </w:rPr>
              <w:t>repectarea</w:t>
            </w:r>
            <w:proofErr w:type="spellEnd"/>
            <w:r w:rsidRPr="00306CB3">
              <w:rPr>
                <w:rFonts w:ascii="Trebuchet MS" w:hAnsi="Trebuchet MS"/>
                <w:sz w:val="18"/>
                <w:szCs w:val="18"/>
              </w:rPr>
              <w:t xml:space="preserve"> principiilor de nediscriminare (sau a</w:t>
            </w:r>
            <w:r>
              <w:rPr>
                <w:rFonts w:ascii="Trebuchet MS" w:hAnsi="Trebuchet MS"/>
                <w:sz w:val="18"/>
                <w:szCs w:val="18"/>
              </w:rPr>
              <w:t>lte reglementări), și nu impune/</w:t>
            </w:r>
            <w:r w:rsidRPr="00306CB3">
              <w:rPr>
                <w:rFonts w:ascii="Trebuchet MS" w:hAnsi="Trebuchet MS"/>
                <w:sz w:val="18"/>
                <w:szCs w:val="18"/>
              </w:rPr>
              <w:t xml:space="preserve">nu a impus criterii discriminatorii în activitatea de: </w:t>
            </w:r>
          </w:p>
          <w:p w:rsidR="00023BB3" w:rsidRPr="003976D7" w:rsidRDefault="00023BB3" w:rsidP="00B85FC0">
            <w:pPr>
              <w:jc w:val="both"/>
              <w:rPr>
                <w:rFonts w:ascii="Trebuchet MS" w:hAnsi="Trebuchet MS"/>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Nediscriminare din Cererea de finanțare</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Documentele organizatorice indicate de solicitant</w:t>
            </w:r>
          </w:p>
          <w:p w:rsidR="00023BB3" w:rsidRPr="00306CB3" w:rsidRDefault="00023BB3" w:rsidP="00B85FC0">
            <w:pPr>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pStyle w:val="ListParagraph"/>
              <w:numPr>
                <w:ilvl w:val="0"/>
                <w:numId w:val="5"/>
              </w:numPr>
              <w:ind w:left="266" w:hanging="266"/>
              <w:jc w:val="both"/>
              <w:rPr>
                <w:rFonts w:ascii="Trebuchet MS" w:hAnsi="Trebuchet MS"/>
                <w:i/>
                <w:sz w:val="18"/>
                <w:szCs w:val="18"/>
              </w:rPr>
            </w:pPr>
            <w:proofErr w:type="spellStart"/>
            <w:r w:rsidRPr="00306CB3">
              <w:rPr>
                <w:rFonts w:ascii="Trebuchet MS" w:hAnsi="Trebuchet MS"/>
                <w:i/>
                <w:sz w:val="18"/>
                <w:szCs w:val="18"/>
              </w:rPr>
              <w:t>Ordonanţa</w:t>
            </w:r>
            <w:proofErr w:type="spellEnd"/>
            <w:r w:rsidRPr="00306CB3">
              <w:rPr>
                <w:rFonts w:ascii="Trebuchet MS" w:hAnsi="Trebuchet MS"/>
                <w:i/>
                <w:sz w:val="18"/>
                <w:szCs w:val="18"/>
              </w:rPr>
              <w:t xml:space="preserve">  nr.  137/2000  privind  prevenirea  </w:t>
            </w:r>
            <w:proofErr w:type="spellStart"/>
            <w:r w:rsidRPr="00306CB3">
              <w:rPr>
                <w:rFonts w:ascii="Trebuchet MS" w:hAnsi="Trebuchet MS"/>
                <w:i/>
                <w:sz w:val="18"/>
                <w:szCs w:val="18"/>
              </w:rPr>
              <w:t>şi</w:t>
            </w:r>
            <w:proofErr w:type="spellEnd"/>
            <w:r w:rsidRPr="00306CB3">
              <w:rPr>
                <w:rFonts w:ascii="Trebuchet MS" w:hAnsi="Trebuchet MS"/>
                <w:i/>
                <w:sz w:val="18"/>
                <w:szCs w:val="18"/>
              </w:rPr>
              <w:t xml:space="preserve">  </w:t>
            </w:r>
            <w:proofErr w:type="spellStart"/>
            <w:r w:rsidRPr="00306CB3">
              <w:rPr>
                <w:rFonts w:ascii="Trebuchet MS" w:hAnsi="Trebuchet MS"/>
                <w:i/>
                <w:sz w:val="18"/>
                <w:szCs w:val="18"/>
              </w:rPr>
              <w:t>sancţionarea</w:t>
            </w:r>
            <w:proofErr w:type="spellEnd"/>
            <w:r w:rsidRPr="00306CB3">
              <w:rPr>
                <w:rFonts w:ascii="Trebuchet MS" w:hAnsi="Trebuchet MS"/>
                <w:i/>
                <w:sz w:val="18"/>
                <w:szCs w:val="18"/>
              </w:rPr>
              <w:t xml:space="preserve"> tuturor formelor de discriminare</w:t>
            </w:r>
            <w:r w:rsidRPr="00306CB3">
              <w:rPr>
                <w:rFonts w:ascii="Trebuchet MS" w:hAnsi="Trebuchet MS"/>
                <w:b/>
                <w:sz w:val="18"/>
                <w:szCs w:val="18"/>
              </w:rPr>
              <w:t xml:space="preserve"> </w:t>
            </w: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Stabilire</w:t>
            </w:r>
            <w:r>
              <w:rPr>
                <w:rFonts w:ascii="Trebuchet MS" w:hAnsi="Trebuchet MS"/>
                <w:sz w:val="18"/>
                <w:szCs w:val="18"/>
              </w:rPr>
              <w:t xml:space="preserve"> </w:t>
            </w:r>
            <w:r w:rsidRPr="00306CB3">
              <w:rPr>
                <w:rFonts w:ascii="Trebuchet MS" w:hAnsi="Trebuchet MS"/>
                <w:sz w:val="18"/>
                <w:szCs w:val="18"/>
              </w:rPr>
              <w:t>a componenței unității de implementare a proiectului?</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Elaborare</w:t>
            </w:r>
            <w:r>
              <w:rPr>
                <w:rFonts w:ascii="Trebuchet MS" w:hAnsi="Trebuchet MS"/>
                <w:sz w:val="18"/>
                <w:szCs w:val="18"/>
              </w:rPr>
              <w:t xml:space="preserve"> </w:t>
            </w:r>
            <w:r w:rsidRPr="00306CB3">
              <w:rPr>
                <w:rFonts w:ascii="Trebuchet MS" w:hAnsi="Trebuchet MS"/>
                <w:sz w:val="18"/>
                <w:szCs w:val="18"/>
              </w:rPr>
              <w:t>a criteriilor din documentația de achiziție publică?</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sz w:val="18"/>
                <w:szCs w:val="18"/>
              </w:rPr>
            </w:pPr>
            <w:r w:rsidRPr="00306CB3">
              <w:rPr>
                <w:rFonts w:ascii="Trebuchet MS" w:hAnsi="Trebuchet MS"/>
                <w:b/>
                <w:sz w:val="18"/>
                <w:szCs w:val="18"/>
              </w:rPr>
              <w:t>Pentru OS 4.1. Protecția biodiversității</w:t>
            </w:r>
          </w:p>
          <w:p w:rsidR="00023BB3" w:rsidRPr="00306CB3" w:rsidRDefault="00023BB3" w:rsidP="00B85FC0">
            <w:pPr>
              <w:jc w:val="both"/>
              <w:rPr>
                <w:rFonts w:ascii="Trebuchet MS" w:hAnsi="Trebuchet MS"/>
                <w:b/>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b/>
                <w:sz w:val="18"/>
                <w:szCs w:val="18"/>
              </w:rPr>
            </w:pPr>
            <w:r w:rsidRPr="00306CB3">
              <w:rPr>
                <w:rFonts w:ascii="Trebuchet MS" w:hAnsi="Trebuchet MS"/>
                <w:sz w:val="18"/>
                <w:szCs w:val="18"/>
              </w:rPr>
              <w:t xml:space="preserve">Stabilirea grupului țintă pentru activitățile de informare și conștientizare în domeniul </w:t>
            </w:r>
            <w:proofErr w:type="spellStart"/>
            <w:r w:rsidRPr="00306CB3">
              <w:rPr>
                <w:rFonts w:ascii="Trebuchet MS" w:hAnsi="Trebuchet MS"/>
                <w:sz w:val="18"/>
                <w:szCs w:val="18"/>
              </w:rPr>
              <w:t>biodivresității</w:t>
            </w:r>
            <w:proofErr w:type="spellEnd"/>
            <w:r w:rsidRPr="00306CB3">
              <w:rPr>
                <w:rFonts w:ascii="Trebuchet MS" w:hAnsi="Trebuchet MS"/>
                <w:sz w:val="18"/>
                <w:szCs w:val="18"/>
              </w:rPr>
              <w:t>?</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sz w:val="18"/>
                <w:szCs w:val="18"/>
              </w:rPr>
            </w:pPr>
            <w:r w:rsidRPr="00306CB3">
              <w:rPr>
                <w:rFonts w:ascii="Trebuchet MS" w:hAnsi="Trebuchet MS"/>
                <w:b/>
                <w:sz w:val="18"/>
                <w:szCs w:val="18"/>
              </w:rPr>
              <w:t>Pentru OS 3.1. (deșeuri), OS 3.2.(infrastructura de apă),</w:t>
            </w:r>
            <w:r w:rsidRPr="00306CB3">
              <w:rPr>
                <w:rFonts w:ascii="Trebuchet MS" w:hAnsi="Trebuchet MS"/>
                <w:sz w:val="18"/>
                <w:szCs w:val="18"/>
              </w:rPr>
              <w:t xml:space="preserve"> </w:t>
            </w:r>
            <w:r w:rsidRPr="00306CB3">
              <w:rPr>
                <w:rFonts w:ascii="Trebuchet MS" w:hAnsi="Trebuchet MS"/>
                <w:b/>
                <w:sz w:val="18"/>
                <w:szCs w:val="18"/>
              </w:rPr>
              <w:t>OS 6.1. (pentru centralele de termoficare destinate populației), OS 6.3. (contorizare inteligentă), OS 7.1., OS 7.2. (termoficare)</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Nediscriminare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Descrierea ariei de operare și a consumatorilor vizați</w:t>
            </w: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Accesul la serviciile furnizate?</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A3. Accesibilitate pentru persoanele cu dizabilități</w:t>
            </w:r>
          </w:p>
          <w:p w:rsidR="00023BB3" w:rsidRPr="00306CB3" w:rsidRDefault="00023BB3" w:rsidP="00B85FC0">
            <w:pPr>
              <w:pStyle w:val="ListParagraph"/>
              <w:ind w:left="0"/>
              <w:jc w:val="both"/>
              <w:rPr>
                <w:rFonts w:ascii="Trebuchet MS" w:hAnsi="Trebuchet MS"/>
                <w:b/>
                <w:color w:val="FF0000"/>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right w:val="single" w:sz="4" w:space="0" w:color="auto"/>
            </w:tcBorders>
            <w:shd w:val="clear" w:color="auto" w:fill="auto"/>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sz w:val="18"/>
                <w:szCs w:val="18"/>
              </w:rPr>
            </w:pPr>
            <w:r w:rsidRPr="00306CB3">
              <w:rPr>
                <w:rFonts w:ascii="Trebuchet MS" w:hAnsi="Trebuchet MS"/>
                <w:b/>
                <w:sz w:val="18"/>
                <w:szCs w:val="18"/>
              </w:rPr>
              <w:t>AP1 (transport), AP2 (transport), AP3 (infrastructura de deșeuri și apă)</w:t>
            </w:r>
          </w:p>
          <w:p w:rsidR="00023BB3" w:rsidRPr="00306CB3" w:rsidRDefault="00023BB3" w:rsidP="00B85FC0">
            <w:pPr>
              <w:jc w:val="both"/>
              <w:rPr>
                <w:rFonts w:ascii="Trebuchet MS" w:hAnsi="Trebuchet MS"/>
                <w:b/>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”Accesibilitate pentru persoanele cu dizabilități”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Legislație aplicabilă: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Convenția  ONU  privind  drepturile  persoanelor  cu  dizabilități,  ratificată  de România prin Legea nr. 221/2010</w:t>
            </w:r>
          </w:p>
          <w:p w:rsidR="00023BB3" w:rsidRPr="00306CB3" w:rsidRDefault="00023BB3" w:rsidP="00B85FC0">
            <w:pPr>
              <w:pStyle w:val="ListParagraph"/>
              <w:numPr>
                <w:ilvl w:val="0"/>
                <w:numId w:val="5"/>
              </w:numPr>
              <w:ind w:left="266" w:hanging="266"/>
              <w:jc w:val="both"/>
              <w:rPr>
                <w:rFonts w:ascii="Trebuchet MS" w:hAnsi="Trebuchet MS"/>
                <w:b/>
                <w:sz w:val="18"/>
                <w:szCs w:val="18"/>
              </w:rPr>
            </w:pPr>
            <w:r w:rsidRPr="00306CB3">
              <w:rPr>
                <w:rFonts w:ascii="Trebuchet MS" w:hAnsi="Trebuchet MS"/>
                <w:i/>
                <w:sz w:val="18"/>
                <w:szCs w:val="18"/>
              </w:rPr>
              <w:lastRenderedPageBreak/>
              <w:t xml:space="preserve">Normativul privind adaptarea clădirilor civile </w:t>
            </w:r>
            <w:proofErr w:type="spellStart"/>
            <w:r w:rsidRPr="00306CB3">
              <w:rPr>
                <w:rFonts w:ascii="Trebuchet MS" w:hAnsi="Trebuchet MS"/>
                <w:i/>
                <w:sz w:val="18"/>
                <w:szCs w:val="18"/>
              </w:rPr>
              <w:t>şi</w:t>
            </w:r>
            <w:proofErr w:type="spellEnd"/>
            <w:r w:rsidRPr="00306CB3">
              <w:rPr>
                <w:rFonts w:ascii="Trebuchet MS" w:hAnsi="Trebuchet MS"/>
                <w:i/>
                <w:sz w:val="18"/>
                <w:szCs w:val="18"/>
              </w:rPr>
              <w:t xml:space="preserve"> </w:t>
            </w:r>
            <w:proofErr w:type="spellStart"/>
            <w:r w:rsidRPr="00306CB3">
              <w:rPr>
                <w:rFonts w:ascii="Trebuchet MS" w:hAnsi="Trebuchet MS"/>
                <w:i/>
                <w:sz w:val="18"/>
                <w:szCs w:val="18"/>
              </w:rPr>
              <w:t>spaţiului</w:t>
            </w:r>
            <w:proofErr w:type="spellEnd"/>
            <w:r w:rsidRPr="00306CB3">
              <w:rPr>
                <w:rFonts w:ascii="Trebuchet MS" w:hAnsi="Trebuchet MS"/>
                <w:i/>
                <w:sz w:val="18"/>
                <w:szCs w:val="18"/>
              </w:rPr>
              <w:t xml:space="preserve"> urban la nevoile individuale ale persoanelor cu handicap, indicativ NP 051-2012, aprobat prin Ordinul ministrului dezvoltării regionale </w:t>
            </w:r>
            <w:proofErr w:type="spellStart"/>
            <w:r w:rsidRPr="00306CB3">
              <w:rPr>
                <w:rFonts w:ascii="Trebuchet MS" w:hAnsi="Trebuchet MS"/>
                <w:i/>
                <w:sz w:val="18"/>
                <w:szCs w:val="18"/>
              </w:rPr>
              <w:t>şi</w:t>
            </w:r>
            <w:proofErr w:type="spellEnd"/>
            <w:r w:rsidRPr="00306CB3">
              <w:rPr>
                <w:rFonts w:ascii="Trebuchet MS" w:hAnsi="Trebuchet MS"/>
                <w:i/>
                <w:sz w:val="18"/>
                <w:szCs w:val="18"/>
              </w:rPr>
              <w:t xml:space="preserve"> </w:t>
            </w:r>
            <w:proofErr w:type="spellStart"/>
            <w:r w:rsidRPr="00306CB3">
              <w:rPr>
                <w:rFonts w:ascii="Trebuchet MS" w:hAnsi="Trebuchet MS"/>
                <w:i/>
                <w:sz w:val="18"/>
                <w:szCs w:val="18"/>
              </w:rPr>
              <w:t>administraţiei</w:t>
            </w:r>
            <w:proofErr w:type="spellEnd"/>
            <w:r w:rsidRPr="00306CB3">
              <w:rPr>
                <w:rFonts w:ascii="Trebuchet MS" w:hAnsi="Trebuchet MS"/>
                <w:i/>
                <w:sz w:val="18"/>
                <w:szCs w:val="18"/>
              </w:rPr>
              <w:t xml:space="preserve"> publice nr. 189/2013</w:t>
            </w: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2"/>
              </w:numPr>
              <w:jc w:val="both"/>
              <w:rPr>
                <w:rFonts w:ascii="Trebuchet MS" w:hAnsi="Trebuchet MS"/>
                <w:b/>
                <w:sz w:val="18"/>
                <w:szCs w:val="18"/>
              </w:rPr>
            </w:pPr>
            <w:r w:rsidRPr="00306CB3">
              <w:rPr>
                <w:rFonts w:ascii="Trebuchet MS" w:hAnsi="Trebuchet MS"/>
                <w:sz w:val="18"/>
                <w:szCs w:val="18"/>
              </w:rPr>
              <w:t>Solicitantul explică modul în care va aplica normele tehnice care asigură accesul persoanelor cu dizabilități pentru infrastructura dezvoltată?</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A4. Schimbări demografice</w:t>
            </w:r>
          </w:p>
          <w:p w:rsidR="00023BB3" w:rsidRPr="00306CB3" w:rsidRDefault="00023BB3" w:rsidP="00B85FC0">
            <w:pPr>
              <w:pStyle w:val="ListParagraph"/>
              <w:ind w:left="0"/>
              <w:jc w:val="both"/>
              <w:rPr>
                <w:rFonts w:ascii="Trebuchet MS" w:hAnsi="Trebuchet MS"/>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AP1, AP2, OS 5.1. (inundații), OS 6.1. (pentru centralele de termoficare destinate populației), OS 6.3., AP 7 termoficare</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 xml:space="preserve">Solicitantul descrie modul în care schimbările demografice sunt luate în considerare în stabilirea cererii pentru infrastructura creată? </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”Schimbări demografice”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 – analiza cererii</w:t>
            </w:r>
          </w:p>
          <w:p w:rsidR="00023BB3" w:rsidRPr="00306CB3" w:rsidRDefault="00023BB3" w:rsidP="00B85FC0">
            <w:pPr>
              <w:pStyle w:val="ListParagraph"/>
              <w:ind w:left="0"/>
              <w:jc w:val="both"/>
              <w:rPr>
                <w:rFonts w:ascii="Trebuchet MS" w:hAnsi="Trebuchet MS"/>
                <w:b/>
                <w:color w:val="FF0000"/>
                <w:sz w:val="18"/>
                <w:szCs w:val="18"/>
              </w:rPr>
            </w:pPr>
            <w:r w:rsidRPr="00306CB3">
              <w:rPr>
                <w:rFonts w:ascii="Trebuchet MS" w:hAnsi="Trebuchet MS"/>
                <w:i/>
                <w:sz w:val="18"/>
                <w:szCs w:val="18"/>
              </w:rPr>
              <w:t>Analiza cost-beneficiu</w:t>
            </w:r>
          </w:p>
        </w:tc>
      </w:tr>
      <w:tr w:rsidR="00023BB3" w:rsidRPr="00306CB3" w:rsidTr="00B85FC0">
        <w:trPr>
          <w:trHeight w:val="364"/>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023BB3" w:rsidRDefault="00023BB3" w:rsidP="00023BB3">
            <w:pPr>
              <w:pStyle w:val="ListParagraph"/>
              <w:ind w:left="360"/>
              <w:jc w:val="both"/>
              <w:rPr>
                <w:rFonts w:ascii="Trebuchet MS" w:hAnsi="Trebuchet MS"/>
                <w:b/>
                <w:sz w:val="18"/>
                <w:szCs w:val="18"/>
              </w:rPr>
            </w:pPr>
            <w:r w:rsidRPr="00306CB3">
              <w:rPr>
                <w:rFonts w:ascii="Trebuchet MS" w:hAnsi="Trebuchet MS"/>
                <w:b/>
                <w:sz w:val="18"/>
                <w:szCs w:val="18"/>
              </w:rPr>
              <w:t>Concluzii: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color w:val="FF0000"/>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976D7" w:rsidRDefault="00023BB3" w:rsidP="00B85FC0">
            <w:pPr>
              <w:pStyle w:val="ListParagraph"/>
              <w:numPr>
                <w:ilvl w:val="0"/>
                <w:numId w:val="3"/>
              </w:numPr>
              <w:jc w:val="both"/>
              <w:rPr>
                <w:rFonts w:ascii="Trebuchet MS" w:hAnsi="Trebuchet MS"/>
                <w:sz w:val="18"/>
                <w:szCs w:val="18"/>
              </w:rPr>
            </w:pPr>
            <w:r w:rsidRPr="00306CB3">
              <w:rPr>
                <w:rFonts w:ascii="Trebuchet MS" w:hAnsi="Trebuchet MS"/>
                <w:b/>
                <w:color w:val="2F5496" w:themeColor="accent5" w:themeShade="BF"/>
                <w:sz w:val="18"/>
                <w:szCs w:val="18"/>
              </w:rPr>
              <w:t>Dezvoltarea durabilă</w:t>
            </w:r>
          </w:p>
          <w:p w:rsidR="00023BB3" w:rsidRPr="003976D7" w:rsidRDefault="00023BB3" w:rsidP="00B85FC0">
            <w:pPr>
              <w:jc w:val="both"/>
              <w:rPr>
                <w:rFonts w:ascii="Trebuchet MS" w:hAnsi="Trebuchet MS"/>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color w:val="FF0000"/>
                <w:sz w:val="18"/>
                <w:szCs w:val="18"/>
              </w:rPr>
            </w:pPr>
          </w:p>
        </w:tc>
      </w:tr>
      <w:tr w:rsidR="00023BB3" w:rsidRPr="00306CB3" w:rsidTr="00B85FC0">
        <w:trPr>
          <w:trHeight w:val="34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color w:val="FF0000"/>
                <w:sz w:val="18"/>
                <w:szCs w:val="18"/>
              </w:rPr>
            </w:pPr>
            <w:r w:rsidRPr="00306CB3">
              <w:rPr>
                <w:rFonts w:ascii="Trebuchet MS" w:hAnsi="Trebuchet MS"/>
                <w:b/>
                <w:color w:val="FF0000"/>
                <w:sz w:val="18"/>
                <w:szCs w:val="18"/>
              </w:rPr>
              <w:t>B1. Protecția biodiversității</w:t>
            </w:r>
          </w:p>
          <w:p w:rsidR="00023BB3" w:rsidRPr="00306CB3" w:rsidRDefault="00023BB3" w:rsidP="00B85FC0">
            <w:pPr>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descrie modul în care asigură protecția biodiversității în timpul implementării sau promovează biodiversitatea prin intermediul proiectului propus?</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”Protecția biodiversității”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(Raportul de mediu unde este cazul)</w:t>
            </w:r>
          </w:p>
          <w:p w:rsidR="00023BB3" w:rsidRPr="00306CB3" w:rsidRDefault="00023BB3" w:rsidP="00B85FC0">
            <w:pPr>
              <w:pStyle w:val="ListParagraph"/>
              <w:ind w:left="0"/>
              <w:jc w:val="both"/>
              <w:rPr>
                <w:rFonts w:ascii="Trebuchet MS" w:hAnsi="Trebuchet MS"/>
                <w:sz w:val="18"/>
                <w:szCs w:val="18"/>
              </w:rPr>
            </w:pPr>
            <w:r w:rsidRPr="00306CB3">
              <w:rPr>
                <w:rFonts w:ascii="Trebuchet MS" w:hAnsi="Trebuchet MS"/>
                <w:i/>
                <w:sz w:val="18"/>
                <w:szCs w:val="18"/>
              </w:rPr>
              <w:t>Declarația Natura 2000, unde este cazul</w:t>
            </w:r>
          </w:p>
        </w:tc>
      </w:tr>
      <w:tr w:rsidR="00023BB3" w:rsidRPr="00306CB3" w:rsidTr="00B85FC0">
        <w:trPr>
          <w:trHeight w:val="233"/>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B2. Utilizarea eficientă a resurselor</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color w:val="FF0000"/>
                <w:sz w:val="18"/>
                <w:szCs w:val="18"/>
              </w:rPr>
            </w:pPr>
            <w:r w:rsidRPr="00306CB3">
              <w:rPr>
                <w:rFonts w:ascii="Trebuchet MS" w:hAnsi="Trebuchet MS"/>
                <w:sz w:val="18"/>
                <w:szCs w:val="18"/>
              </w:rPr>
              <w:t>Solicitantul descrie modul în care proiectul contribuie la utilizarea eficientă a resurselor și/sau identifică măsuri de promovare suplimentară a acestui principiu?</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”Utilizarea eficientă a resurselor”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(Raportul de mediu unde este cazul)</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Raportul de mediu, unde este cazul</w:t>
            </w:r>
          </w:p>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Studiu de fezabilitate, după caz</w:t>
            </w: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a detaliat modul în care va utiliza în mod sustenabil deșeurile generate în perioada de implementare a proiectului, și după caz, operare a infrastructurii?</w:t>
            </w:r>
          </w:p>
        </w:tc>
        <w:tc>
          <w:tcPr>
            <w:tcW w:w="478"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286"/>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B3. Poluatorul plătește</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Solicitantul descrie modul în care este respectat, dacă este cazul, principiul poluatorul plătește?</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”Poluatorul plătește”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Strategia tarifară, unde este solicitată</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Documentele de mediu (Raportul de mediu unde este cazul)</w:t>
            </w:r>
          </w:p>
        </w:tc>
      </w:tr>
      <w:tr w:rsidR="00023BB3" w:rsidRPr="00306CB3" w:rsidTr="00B85FC0">
        <w:trPr>
          <w:trHeight w:val="36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 xml:space="preserve">B4. Atenuarea </w:t>
            </w:r>
            <w:proofErr w:type="spellStart"/>
            <w:r w:rsidRPr="00306CB3">
              <w:rPr>
                <w:rFonts w:ascii="Trebuchet MS" w:hAnsi="Trebuchet MS"/>
                <w:b/>
                <w:color w:val="FF0000"/>
                <w:sz w:val="18"/>
                <w:szCs w:val="18"/>
              </w:rPr>
              <w:t>şi</w:t>
            </w:r>
            <w:proofErr w:type="spellEnd"/>
            <w:r w:rsidRPr="00306CB3">
              <w:rPr>
                <w:rFonts w:ascii="Trebuchet MS" w:hAnsi="Trebuchet MS"/>
                <w:b/>
                <w:color w:val="FF0000"/>
                <w:sz w:val="18"/>
                <w:szCs w:val="18"/>
              </w:rPr>
              <w:t xml:space="preserve"> adaptarea la schimbările climatice</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lastRenderedPageBreak/>
              <w:t xml:space="preserve">AP1 (transport), AP2 (transport), AP3 (infrastructura de apă și deșeuri), OS 4.1. (proiecte de tip care conțin lucrări de infrastructură), AP5 (inundații și situații de </w:t>
            </w:r>
            <w:r w:rsidR="00BE223F">
              <w:rPr>
                <w:rFonts w:ascii="Trebuchet MS" w:hAnsi="Trebuchet MS"/>
                <w:b/>
                <w:sz w:val="18"/>
                <w:szCs w:val="18"/>
              </w:rPr>
              <w:t>urgență), AP7 (termoficare), AP</w:t>
            </w:r>
            <w:r w:rsidRPr="00306CB3">
              <w:rPr>
                <w:rFonts w:ascii="Trebuchet MS" w:hAnsi="Trebuchet MS"/>
                <w:b/>
                <w:sz w:val="18"/>
                <w:szCs w:val="18"/>
              </w:rPr>
              <w:t>8 (transport electricitate și gaze)</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vAlign w:val="center"/>
          </w:tcPr>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 xml:space="preserve">Secțiunea privind ”Atenuarea </w:t>
            </w:r>
            <w:proofErr w:type="spellStart"/>
            <w:r w:rsidRPr="00306CB3">
              <w:rPr>
                <w:rFonts w:ascii="Trebuchet MS" w:hAnsi="Trebuchet MS"/>
                <w:i/>
                <w:sz w:val="18"/>
                <w:szCs w:val="18"/>
              </w:rPr>
              <w:t>şi</w:t>
            </w:r>
            <w:proofErr w:type="spellEnd"/>
            <w:r w:rsidRPr="00306CB3">
              <w:rPr>
                <w:rFonts w:ascii="Trebuchet MS" w:hAnsi="Trebuchet MS"/>
                <w:i/>
                <w:sz w:val="18"/>
                <w:szCs w:val="18"/>
              </w:rPr>
              <w:t xml:space="preserve"> adaptarea la schimbările climatice” din cererea de finanțare</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Secțiunea F</w:t>
            </w:r>
            <w:r>
              <w:rPr>
                <w:rFonts w:ascii="Trebuchet MS" w:hAnsi="Trebuchet MS"/>
                <w:i/>
                <w:sz w:val="18"/>
                <w:szCs w:val="18"/>
              </w:rPr>
              <w:t>.1.1</w:t>
            </w:r>
            <w:r w:rsidRPr="00306CB3">
              <w:rPr>
                <w:rFonts w:ascii="Trebuchet MS" w:hAnsi="Trebuchet MS"/>
                <w:i/>
                <w:sz w:val="18"/>
                <w:szCs w:val="18"/>
              </w:rPr>
              <w:t>, F</w:t>
            </w:r>
            <w:r>
              <w:rPr>
                <w:rFonts w:ascii="Trebuchet MS" w:hAnsi="Trebuchet MS"/>
                <w:i/>
                <w:sz w:val="18"/>
                <w:szCs w:val="18"/>
              </w:rPr>
              <w:t>.</w:t>
            </w:r>
            <w:r w:rsidRPr="00306CB3">
              <w:rPr>
                <w:rFonts w:ascii="Trebuchet MS" w:hAnsi="Trebuchet MS"/>
                <w:i/>
                <w:sz w:val="18"/>
                <w:szCs w:val="18"/>
              </w:rPr>
              <w:t>2, F</w:t>
            </w:r>
            <w:r>
              <w:rPr>
                <w:rFonts w:ascii="Trebuchet MS" w:hAnsi="Trebuchet MS"/>
                <w:i/>
                <w:sz w:val="18"/>
                <w:szCs w:val="18"/>
              </w:rPr>
              <w:t>.</w:t>
            </w:r>
            <w:r w:rsidRPr="00306CB3">
              <w:rPr>
                <w:rFonts w:ascii="Trebuchet MS" w:hAnsi="Trebuchet MS"/>
                <w:i/>
                <w:sz w:val="18"/>
                <w:szCs w:val="18"/>
              </w:rPr>
              <w:t>3, F.4, F.5, F.6 și F</w:t>
            </w:r>
            <w:r>
              <w:rPr>
                <w:rFonts w:ascii="Trebuchet MS" w:hAnsi="Trebuchet MS"/>
                <w:i/>
                <w:sz w:val="18"/>
                <w:szCs w:val="18"/>
              </w:rPr>
              <w:t>.</w:t>
            </w:r>
            <w:r w:rsidRPr="00306CB3">
              <w:rPr>
                <w:rFonts w:ascii="Trebuchet MS" w:hAnsi="Trebuchet MS"/>
                <w:i/>
                <w:sz w:val="18"/>
                <w:szCs w:val="18"/>
              </w:rPr>
              <w:t xml:space="preserve">8 Format proiect major </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Volumul EIM din Studiul de fezabilitate, care conține și analiza privind schimbările climatice și reziliența la dezastre în selectarea opțiunilor</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b/>
                <w:sz w:val="18"/>
                <w:szCs w:val="18"/>
              </w:rPr>
            </w:pPr>
            <w:proofErr w:type="spellStart"/>
            <w:r w:rsidRPr="00306CB3">
              <w:rPr>
                <w:rFonts w:ascii="Trebuchet MS" w:hAnsi="Trebuchet MS"/>
                <w:i/>
                <w:sz w:val="18"/>
                <w:szCs w:val="18"/>
              </w:rPr>
              <w:t>Guidelines</w:t>
            </w:r>
            <w:proofErr w:type="spellEnd"/>
            <w:r w:rsidRPr="00306CB3">
              <w:rPr>
                <w:rFonts w:ascii="Trebuchet MS" w:hAnsi="Trebuchet MS"/>
                <w:i/>
                <w:sz w:val="18"/>
                <w:szCs w:val="18"/>
              </w:rPr>
              <w:t xml:space="preserve"> for Project </w:t>
            </w:r>
            <w:proofErr w:type="spellStart"/>
            <w:r w:rsidRPr="00306CB3">
              <w:rPr>
                <w:rFonts w:ascii="Trebuchet MS" w:hAnsi="Trebuchet MS"/>
                <w:i/>
                <w:sz w:val="18"/>
                <w:szCs w:val="18"/>
              </w:rPr>
              <w:t>Managers</w:t>
            </w:r>
            <w:proofErr w:type="spellEnd"/>
            <w:r w:rsidRPr="00306CB3">
              <w:rPr>
                <w:rFonts w:ascii="Trebuchet MS" w:hAnsi="Trebuchet MS"/>
                <w:i/>
                <w:sz w:val="18"/>
                <w:szCs w:val="18"/>
              </w:rPr>
              <w:t xml:space="preserve">: </w:t>
            </w:r>
            <w:proofErr w:type="spellStart"/>
            <w:r w:rsidRPr="00306CB3">
              <w:rPr>
                <w:rFonts w:ascii="Trebuchet MS" w:hAnsi="Trebuchet MS"/>
                <w:i/>
                <w:sz w:val="18"/>
                <w:szCs w:val="18"/>
              </w:rPr>
              <w:t>Making</w:t>
            </w:r>
            <w:proofErr w:type="spellEnd"/>
            <w:r w:rsidRPr="00306CB3">
              <w:rPr>
                <w:rFonts w:ascii="Trebuchet MS" w:hAnsi="Trebuchet MS"/>
                <w:i/>
                <w:sz w:val="18"/>
                <w:szCs w:val="18"/>
              </w:rPr>
              <w:t xml:space="preserve"> </w:t>
            </w:r>
            <w:proofErr w:type="spellStart"/>
            <w:r w:rsidRPr="00306CB3">
              <w:rPr>
                <w:rFonts w:ascii="Trebuchet MS" w:hAnsi="Trebuchet MS"/>
                <w:i/>
                <w:sz w:val="18"/>
                <w:szCs w:val="18"/>
              </w:rPr>
              <w:t>vulnerable</w:t>
            </w:r>
            <w:proofErr w:type="spellEnd"/>
            <w:r w:rsidRPr="00306CB3">
              <w:rPr>
                <w:rFonts w:ascii="Trebuchet MS" w:hAnsi="Trebuchet MS"/>
                <w:i/>
                <w:sz w:val="18"/>
                <w:szCs w:val="18"/>
              </w:rPr>
              <w:t xml:space="preserve"> </w:t>
            </w:r>
            <w:proofErr w:type="spellStart"/>
            <w:r w:rsidRPr="00306CB3">
              <w:rPr>
                <w:rFonts w:ascii="Trebuchet MS" w:hAnsi="Trebuchet MS"/>
                <w:i/>
                <w:sz w:val="18"/>
                <w:szCs w:val="18"/>
              </w:rPr>
              <w:t>investments</w:t>
            </w:r>
            <w:proofErr w:type="spellEnd"/>
            <w:r w:rsidRPr="00306CB3">
              <w:rPr>
                <w:rFonts w:ascii="Trebuchet MS" w:hAnsi="Trebuchet MS"/>
                <w:i/>
                <w:sz w:val="18"/>
                <w:szCs w:val="18"/>
              </w:rPr>
              <w:t xml:space="preserve"> climate </w:t>
            </w:r>
            <w:proofErr w:type="spellStart"/>
            <w:r w:rsidRPr="00306CB3">
              <w:rPr>
                <w:rFonts w:ascii="Trebuchet MS" w:hAnsi="Trebuchet MS"/>
                <w:i/>
                <w:sz w:val="18"/>
                <w:szCs w:val="18"/>
              </w:rPr>
              <w:t>resilient</w:t>
            </w:r>
            <w:proofErr w:type="spellEnd"/>
            <w:r w:rsidRPr="00306CB3">
              <w:rPr>
                <w:rFonts w:ascii="Trebuchet MS" w:hAnsi="Trebuchet MS"/>
                <w:i/>
                <w:sz w:val="18"/>
                <w:szCs w:val="18"/>
              </w:rPr>
              <w:t xml:space="preserve">”, disponibilă la </w:t>
            </w:r>
            <w:hyperlink r:id="rId8" w:history="1">
              <w:r w:rsidRPr="00306CB3">
                <w:rPr>
                  <w:rFonts w:ascii="Trebuchet MS" w:hAnsi="Trebuchet MS"/>
                  <w:i/>
                  <w:sz w:val="18"/>
                  <w:szCs w:val="18"/>
                </w:rPr>
                <w:t>http://ec.europa.eu/clima/policies/adaptation/what/docs/non_paper_guidelines_project_managers_en.pdf</w:t>
              </w:r>
            </w:hyperlink>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Solicitantul a realizat analiza privind schimbările climatice și reziliența la dezastre în selectarea opțiunilor*:</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Au fost parcurse cele șapte etape ale analizei prevăzute în Ghidul solicitantului?</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 xml:space="preserve">Analiza de </w:t>
            </w:r>
            <w:proofErr w:type="spellStart"/>
            <w:r w:rsidRPr="00306CB3">
              <w:rPr>
                <w:rFonts w:ascii="Trebuchet MS" w:hAnsi="Trebuchet MS"/>
                <w:sz w:val="18"/>
                <w:szCs w:val="18"/>
              </w:rPr>
              <w:t>senzitivitate</w:t>
            </w:r>
            <w:proofErr w:type="spellEnd"/>
            <w:r w:rsidRPr="00306CB3">
              <w:rPr>
                <w:rFonts w:ascii="Trebuchet MS" w:hAnsi="Trebuchet MS"/>
                <w:sz w:val="18"/>
                <w:szCs w:val="18"/>
              </w:rPr>
              <w:t xml:space="preserve"> a vizat riscurile generate de schimbările climatice (ex.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(ex. nivelul mării, temperatura apei/mării, disponibilitatea apei, frecvența furtunilor, inundații, furtunile de nisip, eroziunea costieră și eroziunea s</w:t>
            </w:r>
            <w:r>
              <w:rPr>
                <w:rFonts w:ascii="Trebuchet MS" w:hAnsi="Trebuchet MS"/>
                <w:sz w:val="18"/>
                <w:szCs w:val="18"/>
              </w:rPr>
              <w:t>olului/alunecările de teren/</w:t>
            </w:r>
            <w:r w:rsidRPr="00306CB3">
              <w:rPr>
                <w:rFonts w:ascii="Trebuchet MS" w:hAnsi="Trebuchet MS"/>
                <w:sz w:val="18"/>
                <w:szCs w:val="18"/>
              </w:rPr>
              <w:t>avalanșe, salinitatea solului, calitatea aerului, incendiile de păduri, efectul încălzirii urbane, majorarea perioadei anotimpurilor)?</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 xml:space="preserve">Analiza de </w:t>
            </w:r>
            <w:proofErr w:type="spellStart"/>
            <w:r w:rsidRPr="00306CB3">
              <w:rPr>
                <w:rFonts w:ascii="Trebuchet MS" w:hAnsi="Trebuchet MS"/>
                <w:sz w:val="18"/>
                <w:szCs w:val="18"/>
              </w:rPr>
              <w:t>senzitivitate</w:t>
            </w:r>
            <w:proofErr w:type="spellEnd"/>
            <w:r w:rsidRPr="00306CB3">
              <w:rPr>
                <w:rFonts w:ascii="Trebuchet MS" w:hAnsi="Trebuchet MS"/>
                <w:sz w:val="18"/>
                <w:szCs w:val="18"/>
              </w:rPr>
              <w:t xml:space="preserve"> a acoperit următoarele patru perspective:</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proofErr w:type="spellStart"/>
            <w:r w:rsidRPr="00306CB3">
              <w:rPr>
                <w:rFonts w:ascii="Trebuchet MS" w:hAnsi="Trebuchet MS"/>
                <w:sz w:val="18"/>
                <w:szCs w:val="18"/>
              </w:rPr>
              <w:t>Senzitivitatea</w:t>
            </w:r>
            <w:proofErr w:type="spellEnd"/>
            <w:r w:rsidRPr="00306CB3">
              <w:rPr>
                <w:rFonts w:ascii="Trebuchet MS" w:hAnsi="Trebuchet MS"/>
                <w:sz w:val="18"/>
                <w:szCs w:val="18"/>
              </w:rPr>
              <w:t xml:space="preserve"> activelor</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proofErr w:type="spellStart"/>
            <w:r w:rsidRPr="00306CB3">
              <w:rPr>
                <w:rFonts w:ascii="Trebuchet MS" w:hAnsi="Trebuchet MS"/>
                <w:sz w:val="18"/>
                <w:szCs w:val="18"/>
              </w:rPr>
              <w:t>Senzitivitatea</w:t>
            </w:r>
            <w:proofErr w:type="spellEnd"/>
            <w:r w:rsidRPr="00306CB3">
              <w:rPr>
                <w:rFonts w:ascii="Trebuchet MS" w:hAnsi="Trebuchet MS"/>
                <w:sz w:val="18"/>
                <w:szCs w:val="18"/>
              </w:rPr>
              <w:t xml:space="preserve"> intrărilor (apă, energie, altele)</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proofErr w:type="spellStart"/>
            <w:r w:rsidRPr="00306CB3">
              <w:rPr>
                <w:rFonts w:ascii="Trebuchet MS" w:hAnsi="Trebuchet MS"/>
                <w:sz w:val="18"/>
                <w:szCs w:val="18"/>
              </w:rPr>
              <w:t>Senzitivitatea</w:t>
            </w:r>
            <w:proofErr w:type="spellEnd"/>
            <w:r w:rsidRPr="00306CB3">
              <w:rPr>
                <w:rFonts w:ascii="Trebuchet MS" w:hAnsi="Trebuchet MS"/>
                <w:sz w:val="18"/>
                <w:szCs w:val="18"/>
              </w:rPr>
              <w:t xml:space="preserve"> ieșirilor (produselor, pieței, cererii consumatorilor)</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proofErr w:type="spellStart"/>
            <w:r w:rsidRPr="00306CB3">
              <w:rPr>
                <w:rFonts w:ascii="Trebuchet MS" w:hAnsi="Trebuchet MS"/>
                <w:sz w:val="18"/>
                <w:szCs w:val="18"/>
              </w:rPr>
              <w:t>Senzitivitatea</w:t>
            </w:r>
            <w:proofErr w:type="spellEnd"/>
            <w:r w:rsidRPr="00306CB3">
              <w:rPr>
                <w:rFonts w:ascii="Trebuchet MS" w:hAnsi="Trebuchet MS"/>
                <w:sz w:val="18"/>
                <w:szCs w:val="18"/>
              </w:rPr>
              <w:t xml:space="preserve"> conexiunilor de transport?</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Au fost evaluate și integrate în proiect măsurile de adaptare, fiind descris modul de integrare în secțiunile specifice din cerea de finanțare și în studiul de fezabilitate?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 xml:space="preserve">A fost descris modul în care proiectul contribuie la atenuarea schimbărilor climatice prin rezultatele obținute sau prin măsuri specifice propuse în acest sens (ex. achiziția de echipamente eficiente energetic, utilizarea energiei regenerabile în perioada de operare, </w:t>
            </w:r>
            <w:proofErr w:type="spellStart"/>
            <w:r w:rsidRPr="00306CB3">
              <w:rPr>
                <w:rFonts w:ascii="Trebuchet MS" w:hAnsi="Trebuchet MS"/>
                <w:sz w:val="18"/>
                <w:szCs w:val="18"/>
              </w:rPr>
              <w:t>ulitizarea</w:t>
            </w:r>
            <w:proofErr w:type="spellEnd"/>
            <w:r w:rsidRPr="00306CB3">
              <w:rPr>
                <w:rFonts w:ascii="Trebuchet MS" w:hAnsi="Trebuchet MS"/>
                <w:sz w:val="18"/>
                <w:szCs w:val="18"/>
              </w:rPr>
              <w:t xml:space="preserve"> infrastructurii verzi, orice </w:t>
            </w:r>
            <w:r w:rsidRPr="00306CB3">
              <w:rPr>
                <w:rFonts w:ascii="Trebuchet MS" w:hAnsi="Trebuchet MS"/>
                <w:sz w:val="18"/>
                <w:szCs w:val="18"/>
              </w:rPr>
              <w:lastRenderedPageBreak/>
              <w:t>altă măsură similară care poate duce la diminuarea emisiilor de gaze)?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231"/>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color w:val="FF0000"/>
                <w:sz w:val="18"/>
                <w:szCs w:val="18"/>
              </w:rPr>
            </w:pPr>
            <w:r w:rsidRPr="00306CB3">
              <w:rPr>
                <w:rFonts w:ascii="Trebuchet MS" w:hAnsi="Trebuchet MS"/>
                <w:b/>
                <w:color w:val="FF0000"/>
                <w:sz w:val="18"/>
                <w:szCs w:val="18"/>
              </w:rPr>
              <w:t xml:space="preserve">B5. </w:t>
            </w:r>
            <w:proofErr w:type="spellStart"/>
            <w:r w:rsidRPr="00306CB3">
              <w:rPr>
                <w:rFonts w:ascii="Trebuchet MS" w:hAnsi="Trebuchet MS"/>
                <w:b/>
                <w:color w:val="FF0000"/>
                <w:sz w:val="18"/>
                <w:szCs w:val="18"/>
              </w:rPr>
              <w:t>Rezilienţa</w:t>
            </w:r>
            <w:proofErr w:type="spellEnd"/>
            <w:r w:rsidRPr="00306CB3">
              <w:rPr>
                <w:rFonts w:ascii="Trebuchet MS" w:hAnsi="Trebuchet MS"/>
                <w:b/>
                <w:color w:val="FF0000"/>
                <w:sz w:val="18"/>
                <w:szCs w:val="18"/>
              </w:rPr>
              <w:t xml:space="preserve"> la dezastre</w:t>
            </w:r>
          </w:p>
          <w:p w:rsidR="00023BB3" w:rsidRPr="00306CB3" w:rsidRDefault="00023BB3" w:rsidP="00B85FC0">
            <w:pPr>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a inclus în analiza privind schimbările climatice și reziliența la dezastre în selectarea opțiunilor, alte dezastre decât cele provocate de schimbările climatice?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Au fost propuse măsuri specifice în urma acestei analize?</w:t>
            </w:r>
          </w:p>
        </w:tc>
        <w:tc>
          <w:tcPr>
            <w:tcW w:w="478"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b/>
                <w:color w:val="2F5496" w:themeColor="accent5" w:themeShade="BF"/>
                <w:sz w:val="18"/>
                <w:szCs w:val="18"/>
              </w:rPr>
            </w:pPr>
            <w:r w:rsidRPr="00306CB3">
              <w:rPr>
                <w:rFonts w:ascii="Trebuchet MS" w:hAnsi="Trebuchet MS"/>
                <w:b/>
                <w:color w:val="2F5496" w:themeColor="accent5" w:themeShade="BF"/>
                <w:sz w:val="18"/>
                <w:szCs w:val="18"/>
              </w:rPr>
              <w:t>Tehnologia informației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lang w:eastAsia="ar-SA"/>
              </w:rPr>
            </w:pPr>
            <w:r w:rsidRPr="00306CB3">
              <w:rPr>
                <w:rFonts w:ascii="Trebuchet MS" w:hAnsi="Trebuchet MS"/>
                <w:sz w:val="18"/>
                <w:szCs w:val="18"/>
                <w:lang w:eastAsia="ar-SA"/>
              </w:rPr>
              <w:t>Solicitantul descrie modul în care va fi utilizată tehnologia informațiilor în implementarea și operarea proiectului (ex. sisteme SCADA, contorizare inteligentă, sisteme de măsurare a consumului de energie, sisteme telematice etc.)?</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Descrierea investiției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Studiul de fezabilitate</w:t>
            </w: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b/>
                <w:sz w:val="18"/>
                <w:szCs w:val="18"/>
              </w:rPr>
            </w:pPr>
            <w:r w:rsidRPr="00306CB3">
              <w:rPr>
                <w:rFonts w:ascii="Trebuchet MS" w:hAnsi="Trebuchet MS"/>
                <w:b/>
                <w:sz w:val="18"/>
                <w:szCs w:val="18"/>
              </w:rPr>
              <w:t>Concluzii:</w:t>
            </w:r>
          </w:p>
          <w:p w:rsidR="00023BB3" w:rsidRPr="00306CB3" w:rsidRDefault="00023BB3" w:rsidP="00B85FC0">
            <w:pPr>
              <w:jc w:val="both"/>
              <w:rPr>
                <w:rFonts w:ascii="Trebuchet MS" w:hAnsi="Trebuchet MS"/>
                <w:sz w:val="18"/>
                <w:szCs w:val="18"/>
                <w:lang w:eastAsia="ar-SA"/>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b/>
                <w:color w:val="FF0000"/>
                <w:sz w:val="18"/>
                <w:szCs w:val="18"/>
              </w:rPr>
            </w:pPr>
            <w:r w:rsidRPr="00306CB3">
              <w:rPr>
                <w:rFonts w:ascii="Trebuchet MS" w:hAnsi="Trebuchet MS"/>
                <w:b/>
                <w:color w:val="2F5496" w:themeColor="accent5" w:themeShade="BF"/>
                <w:sz w:val="18"/>
                <w:szCs w:val="18"/>
              </w:rPr>
              <w:t>Achizițiile publice</w:t>
            </w:r>
          </w:p>
        </w:tc>
        <w:tc>
          <w:tcPr>
            <w:tcW w:w="478"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În cazul în care au fost încheiate achiziții anterior depunerii proiectului care sunt prevăzute în bugetul proiectului, Serviciul Verificare Achiziții Publice a formulat următoarea concluzie:</w:t>
            </w:r>
            <w:r w:rsidRPr="00306CB3">
              <w:rPr>
                <w:rFonts w:ascii="Trebuchet MS" w:hAnsi="Trebuchet MS"/>
                <w:b/>
                <w:color w:val="FF0000"/>
                <w:sz w:val="18"/>
                <w:szCs w:val="18"/>
              </w:rPr>
              <w:t xml:space="preserve"> </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Nota SVAP – document intern AM POIM</w:t>
            </w: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sz w:val="18"/>
                <w:szCs w:val="18"/>
              </w:rPr>
            </w:pPr>
          </w:p>
          <w:p w:rsidR="00023BB3" w:rsidRPr="00306CB3" w:rsidRDefault="00023BB3" w:rsidP="00B85FC0">
            <w:pPr>
              <w:pStyle w:val="ListParagraph"/>
              <w:ind w:left="360"/>
              <w:jc w:val="both"/>
              <w:rPr>
                <w:rFonts w:ascii="Trebuchet MS" w:hAnsi="Trebuchet MS"/>
                <w:sz w:val="18"/>
                <w:szCs w:val="18"/>
              </w:rPr>
            </w:pPr>
            <w:r w:rsidRPr="00306CB3">
              <w:rPr>
                <w:rFonts w:ascii="Trebuchet MS" w:hAnsi="Trebuchet MS"/>
                <w:sz w:val="18"/>
                <w:szCs w:val="18"/>
              </w:rPr>
              <w:t>........................</w:t>
            </w:r>
          </w:p>
          <w:p w:rsidR="00023BB3" w:rsidRPr="00306CB3" w:rsidRDefault="00023BB3" w:rsidP="00B85FC0">
            <w:pPr>
              <w:pStyle w:val="ListParagraph"/>
              <w:ind w:left="360"/>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b/>
                <w:sz w:val="18"/>
                <w:szCs w:val="18"/>
              </w:rPr>
            </w:pPr>
            <w:r w:rsidRPr="00306CB3">
              <w:rPr>
                <w:rFonts w:ascii="Trebuchet MS" w:hAnsi="Trebuchet MS"/>
                <w:b/>
                <w:sz w:val="18"/>
                <w:szCs w:val="18"/>
              </w:rPr>
              <w:t>Concluzii:</w:t>
            </w:r>
          </w:p>
          <w:p w:rsidR="00023BB3" w:rsidRPr="00306CB3" w:rsidRDefault="00023BB3" w:rsidP="00B85FC0">
            <w:pPr>
              <w:pStyle w:val="ListParagraph"/>
              <w:ind w:left="360"/>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i/>
                <w:sz w:val="18"/>
                <w:szCs w:val="18"/>
                <w:lang w:eastAsia="ar-SA"/>
              </w:rPr>
            </w:pPr>
            <w:r w:rsidRPr="00306CB3">
              <w:rPr>
                <w:rFonts w:ascii="Trebuchet MS" w:hAnsi="Trebuchet MS"/>
                <w:b/>
                <w:color w:val="2F5496" w:themeColor="accent5" w:themeShade="BF"/>
                <w:sz w:val="18"/>
                <w:szCs w:val="18"/>
              </w:rPr>
              <w:t>Informare și publicitate</w:t>
            </w:r>
          </w:p>
        </w:tc>
        <w:tc>
          <w:tcPr>
            <w:tcW w:w="478"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Planul de informare și publicitate este conform cu prevederile Manualului de Identitate Vizuală aferente tipului de proiect promovat?</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Planul de informare și publicitate</w:t>
            </w:r>
          </w:p>
        </w:tc>
      </w:tr>
      <w:tr w:rsidR="00023BB3" w:rsidRPr="00306CB3" w:rsidTr="00023BB3">
        <w:trPr>
          <w:trHeight w:val="197"/>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3705" w:type="dxa"/>
            <w:tcBorders>
              <w:top w:val="single" w:sz="4" w:space="0" w:color="auto"/>
              <w:left w:val="single" w:sz="4" w:space="0" w:color="auto"/>
              <w:right w:val="single" w:sz="4" w:space="0" w:color="auto"/>
            </w:tcBorders>
          </w:tcPr>
          <w:p w:rsidR="00023BB3" w:rsidRPr="00023BB3" w:rsidRDefault="00023BB3" w:rsidP="00023BB3">
            <w:pPr>
              <w:pStyle w:val="ListParagraph"/>
              <w:ind w:left="360"/>
              <w:jc w:val="both"/>
              <w:rPr>
                <w:rFonts w:ascii="Trebuchet MS" w:hAnsi="Trebuchet MS"/>
                <w:b/>
                <w:sz w:val="18"/>
                <w:szCs w:val="18"/>
              </w:rPr>
            </w:pPr>
            <w:r w:rsidRPr="00306CB3">
              <w:rPr>
                <w:rFonts w:ascii="Trebuchet MS" w:hAnsi="Trebuchet MS"/>
                <w:b/>
                <w:sz w:val="18"/>
                <w:szCs w:val="18"/>
              </w:rPr>
              <w:t>Concluzii:</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r>
      <w:tr w:rsidR="00023BB3" w:rsidRPr="00306CB3" w:rsidTr="00B85FC0">
        <w:trPr>
          <w:trHeight w:val="334"/>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sz w:val="18"/>
                <w:szCs w:val="18"/>
              </w:rPr>
            </w:pPr>
            <w:r w:rsidRPr="00306CB3">
              <w:rPr>
                <w:rFonts w:ascii="Trebuchet MS" w:hAnsi="Trebuchet MS"/>
                <w:b/>
                <w:sz w:val="18"/>
                <w:szCs w:val="18"/>
              </w:rPr>
              <w:t>Comentarii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r>
    </w:tbl>
    <w:p w:rsidR="00023BB3" w:rsidRPr="00306CB3" w:rsidRDefault="00023BB3" w:rsidP="00023BB3">
      <w:pPr>
        <w:jc w:val="both"/>
        <w:rPr>
          <w:rFonts w:ascii="Trebuchet MS" w:hAnsi="Trebuchet MS"/>
          <w:b/>
        </w:rPr>
      </w:pPr>
      <w:r w:rsidRPr="00306CB3">
        <w:rPr>
          <w:rFonts w:ascii="Trebuchet MS" w:hAnsi="Trebuchet MS"/>
          <w:b/>
        </w:rPr>
        <w:t>*</w:t>
      </w:r>
      <w:r w:rsidRPr="00306CB3">
        <w:rPr>
          <w:rFonts w:ascii="Trebuchet MS" w:hAnsi="Trebuchet MS"/>
          <w:sz w:val="16"/>
          <w:szCs w:val="16"/>
        </w:rPr>
        <w:t xml:space="preserve"> Nu se aplică pentru proiectele </w:t>
      </w:r>
      <w:proofErr w:type="spellStart"/>
      <w:r w:rsidRPr="00306CB3">
        <w:rPr>
          <w:rFonts w:ascii="Trebuchet MS" w:hAnsi="Trebuchet MS"/>
          <w:sz w:val="16"/>
          <w:szCs w:val="16"/>
        </w:rPr>
        <w:t>fazate</w:t>
      </w:r>
      <w:proofErr w:type="spellEnd"/>
    </w:p>
    <w:p w:rsidR="00023BB3" w:rsidRPr="00306CB3" w:rsidRDefault="00023BB3" w:rsidP="00023BB3">
      <w:pPr>
        <w:jc w:val="both"/>
        <w:rPr>
          <w:rFonts w:ascii="Trebuchet MS" w:hAnsi="Trebuchet MS"/>
          <w:sz w:val="16"/>
          <w:szCs w:val="16"/>
        </w:rPr>
      </w:pPr>
      <w:r w:rsidRPr="00306CB3">
        <w:rPr>
          <w:rFonts w:ascii="Trebuchet MS" w:hAnsi="Trebuchet MS"/>
          <w:sz w:val="16"/>
          <w:szCs w:val="16"/>
        </w:rPr>
        <w:t>Notă: Pentru fiecare obiectiv specific se selectează întrebările relevante din lista de verificare.</w:t>
      </w:r>
    </w:p>
    <w:p w:rsidR="00023BB3" w:rsidRPr="00306CB3" w:rsidRDefault="00023BB3" w:rsidP="00023BB3">
      <w:pPr>
        <w:jc w:val="both"/>
        <w:rPr>
          <w:rFonts w:ascii="Trebuchet MS" w:hAnsi="Trebuchet MS"/>
          <w:sz w:val="16"/>
          <w:szCs w:val="16"/>
        </w:rPr>
      </w:pPr>
    </w:p>
    <w:p w:rsidR="00023BB3" w:rsidRPr="00306CB3" w:rsidRDefault="00023BB3" w:rsidP="00023BB3">
      <w:pPr>
        <w:jc w:val="both"/>
        <w:rPr>
          <w:rFonts w:ascii="Trebuchet MS" w:hAnsi="Trebuchet MS"/>
          <w:i/>
        </w:rPr>
      </w:pPr>
    </w:p>
    <w:p w:rsidR="00F10E43" w:rsidRPr="00B74151" w:rsidRDefault="00023BB3" w:rsidP="00023BB3">
      <w:pPr>
        <w:jc w:val="both"/>
        <w:rPr>
          <w:rFonts w:ascii="Trebuchet MS" w:hAnsi="Trebuchet MS"/>
          <w:b/>
        </w:rPr>
      </w:pPr>
      <w:r w:rsidRPr="00306CB3">
        <w:rPr>
          <w:rFonts w:ascii="Trebuchet MS" w:hAnsi="Trebuchet MS"/>
          <w:b/>
        </w:rPr>
        <w:t xml:space="preserve">Proiectul respectă politicile europene/temele orizontale?  </w:t>
      </w:r>
      <w:r>
        <w:rPr>
          <w:rFonts w:ascii="Trebuchet MS" w:hAnsi="Trebuchet MS"/>
          <w:b/>
        </w:rPr>
        <w:t>DA</w:t>
      </w:r>
      <w:r w:rsidRPr="00306CB3">
        <w:rPr>
          <w:rFonts w:ascii="Trebuchet MS" w:hAnsi="Trebuchet MS"/>
          <w:b/>
        </w:rPr>
        <w:t>/NU</w:t>
      </w:r>
    </w:p>
    <w:p w:rsidR="00B93301" w:rsidRDefault="00B93301"/>
    <w:sectPr w:rsidR="00B9330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441" w:rsidRDefault="00BF4441" w:rsidP="00A27201">
      <w:r>
        <w:separator/>
      </w:r>
    </w:p>
  </w:endnote>
  <w:endnote w:type="continuationSeparator" w:id="0">
    <w:p w:rsidR="00BF4441" w:rsidRDefault="00BF4441" w:rsidP="00A2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441" w:rsidRDefault="00BF4441" w:rsidP="00A27201">
      <w:r>
        <w:separator/>
      </w:r>
    </w:p>
  </w:footnote>
  <w:footnote w:type="continuationSeparator" w:id="0">
    <w:p w:rsidR="00BF4441" w:rsidRDefault="00BF4441" w:rsidP="00A272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9F9" w:rsidRPr="00F13525" w:rsidRDefault="009749F9" w:rsidP="009749F9">
    <w:pPr>
      <w:pStyle w:val="Header"/>
      <w:spacing w:after="240"/>
      <w:rPr>
        <w:sz w:val="16"/>
        <w:szCs w:val="16"/>
      </w:rPr>
    </w:pPr>
    <w:r>
      <w:rPr>
        <w:sz w:val="16"/>
        <w:szCs w:val="16"/>
      </w:rPr>
      <w:t xml:space="preserve">POIM 2014-2020                                                                                                                                                Anexa </w:t>
    </w:r>
    <w:r w:rsidR="00FB0EB8">
      <w:rPr>
        <w:sz w:val="16"/>
        <w:szCs w:val="16"/>
      </w:rPr>
      <w:t>8</w:t>
    </w:r>
    <w:r>
      <w:rPr>
        <w:sz w:val="16"/>
        <w:szCs w:val="16"/>
      </w:rPr>
      <w:t xml:space="preserve"> Ghidul </w:t>
    </w:r>
    <w:proofErr w:type="spellStart"/>
    <w:r>
      <w:rPr>
        <w:sz w:val="16"/>
        <w:szCs w:val="16"/>
      </w:rPr>
      <w:t>Solicitantului_OS</w:t>
    </w:r>
    <w:proofErr w:type="spellEnd"/>
    <w:r>
      <w:rPr>
        <w:sz w:val="16"/>
        <w:szCs w:val="16"/>
      </w:rPr>
      <w:t xml:space="preserve"> </w:t>
    </w:r>
    <w:r w:rsidR="00635DCC">
      <w:rPr>
        <w:sz w:val="16"/>
        <w:szCs w:val="16"/>
      </w:rPr>
      <w:t>9.1</w:t>
    </w:r>
  </w:p>
  <w:p w:rsidR="00E24C07" w:rsidRDefault="00E24C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96FD3"/>
    <w:multiLevelType w:val="hybridMultilevel"/>
    <w:tmpl w:val="7C843252"/>
    <w:lvl w:ilvl="0" w:tplc="F4F062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190449"/>
    <w:multiLevelType w:val="hybridMultilevel"/>
    <w:tmpl w:val="83085C0C"/>
    <w:lvl w:ilvl="0" w:tplc="8A9274F4">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FF1224"/>
    <w:multiLevelType w:val="hybridMultilevel"/>
    <w:tmpl w:val="A0D23DCE"/>
    <w:lvl w:ilvl="0" w:tplc="7C74EA38">
      <w:start w:val="1"/>
      <w:numFmt w:val="upperLetter"/>
      <w:lvlText w:val="%1."/>
      <w:lvlJc w:val="left"/>
      <w:pPr>
        <w:ind w:left="720" w:hanging="360"/>
      </w:pPr>
      <w:rPr>
        <w:rFonts w:hint="default"/>
        <w:b/>
        <w:i w:val="0"/>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4E497D"/>
    <w:multiLevelType w:val="hybridMultilevel"/>
    <w:tmpl w:val="F7C4C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86444D"/>
    <w:multiLevelType w:val="hybridMultilevel"/>
    <w:tmpl w:val="FDA4090A"/>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AC"/>
    <w:rsid w:val="00023BB3"/>
    <w:rsid w:val="00032511"/>
    <w:rsid w:val="000543BF"/>
    <w:rsid w:val="001A57C0"/>
    <w:rsid w:val="001C7CAC"/>
    <w:rsid w:val="0022479C"/>
    <w:rsid w:val="0024178B"/>
    <w:rsid w:val="00270963"/>
    <w:rsid w:val="002977C1"/>
    <w:rsid w:val="004706EC"/>
    <w:rsid w:val="0055709E"/>
    <w:rsid w:val="00635DCC"/>
    <w:rsid w:val="00660038"/>
    <w:rsid w:val="006B3CC8"/>
    <w:rsid w:val="00721E30"/>
    <w:rsid w:val="007244BC"/>
    <w:rsid w:val="007931D7"/>
    <w:rsid w:val="008B50E3"/>
    <w:rsid w:val="009063A4"/>
    <w:rsid w:val="00955D31"/>
    <w:rsid w:val="009749F9"/>
    <w:rsid w:val="00A27201"/>
    <w:rsid w:val="00A3768D"/>
    <w:rsid w:val="00A42CB6"/>
    <w:rsid w:val="00A669EA"/>
    <w:rsid w:val="00AF778E"/>
    <w:rsid w:val="00B30A45"/>
    <w:rsid w:val="00B93301"/>
    <w:rsid w:val="00BA4783"/>
    <w:rsid w:val="00BB2F12"/>
    <w:rsid w:val="00BC6C07"/>
    <w:rsid w:val="00BE223F"/>
    <w:rsid w:val="00BF4441"/>
    <w:rsid w:val="00C41C57"/>
    <w:rsid w:val="00C6766F"/>
    <w:rsid w:val="00E24C07"/>
    <w:rsid w:val="00E5665A"/>
    <w:rsid w:val="00E754AF"/>
    <w:rsid w:val="00EC23A6"/>
    <w:rsid w:val="00F10E43"/>
    <w:rsid w:val="00F93555"/>
    <w:rsid w:val="00FB0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A11E8-E3F9-4357-B00F-6984CDBA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E43"/>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Listă paragraf"/>
    <w:basedOn w:val="Normal"/>
    <w:link w:val="ListParagraphChar"/>
    <w:uiPriority w:val="34"/>
    <w:qFormat/>
    <w:rsid w:val="00F10E43"/>
    <w:pPr>
      <w:ind w:left="720"/>
      <w:contextualSpacing/>
    </w:p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 Char"/>
    <w:link w:val="ListParagraph"/>
    <w:uiPriority w:val="34"/>
    <w:locked/>
    <w:rsid w:val="00F10E43"/>
    <w:rPr>
      <w:rFonts w:ascii="Times New Roman" w:eastAsia="Times New Roman" w:hAnsi="Times New Roman" w:cs="Times New Roman"/>
      <w:sz w:val="24"/>
      <w:szCs w:val="24"/>
      <w:lang w:val="ro-RO"/>
    </w:rPr>
  </w:style>
  <w:style w:type="table" w:styleId="TableGrid">
    <w:name w:val="Table Grid"/>
    <w:basedOn w:val="TableNormal"/>
    <w:uiPriority w:val="59"/>
    <w:rsid w:val="00F10E4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unhideWhenUsed/>
    <w:rsid w:val="00A27201"/>
    <w:pPr>
      <w:tabs>
        <w:tab w:val="center" w:pos="4680"/>
        <w:tab w:val="right" w:pos="9360"/>
      </w:tabs>
    </w:pPr>
  </w:style>
  <w:style w:type="character" w:customStyle="1" w:styleId="HeaderChar">
    <w:name w:val="Header Char"/>
    <w:aliases w:val="Char Char"/>
    <w:basedOn w:val="DefaultParagraphFont"/>
    <w:link w:val="Header"/>
    <w:uiPriority w:val="99"/>
    <w:rsid w:val="00A27201"/>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A27201"/>
    <w:pPr>
      <w:tabs>
        <w:tab w:val="center" w:pos="4680"/>
        <w:tab w:val="right" w:pos="9360"/>
      </w:tabs>
    </w:pPr>
  </w:style>
  <w:style w:type="character" w:customStyle="1" w:styleId="FooterChar">
    <w:name w:val="Footer Char"/>
    <w:basedOn w:val="DefaultParagraphFont"/>
    <w:link w:val="Footer"/>
    <w:uiPriority w:val="99"/>
    <w:rsid w:val="00A27201"/>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660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038"/>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lima/policies/adaptation/what/docs/non_paper_guidelines_project_managers_en.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22372-B023-43B8-BD5A-4FFE6CE28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1564</Words>
  <Characters>9074</Characters>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2018-05-11T05:59:00Z</dcterms:created>
  <dcterms:modified xsi:type="dcterms:W3CDTF">2021-02-18T11:43:00Z</dcterms:modified>
</cp:coreProperties>
</file>